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«____»____________2018г.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E61DF3" w:rsidRPr="006A66F6" w:rsidRDefault="00E61DF3" w:rsidP="00FD1A52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E61DF3" w:rsidRPr="006A66F6" w:rsidRDefault="00E61DF3" w:rsidP="00FD1A52">
      <w:pPr>
        <w:ind w:firstLine="0"/>
        <w:jc w:val="center"/>
        <w:rPr>
          <w:bCs/>
        </w:rPr>
      </w:pPr>
      <w:r w:rsidRPr="006A66F6">
        <w:rPr>
          <w:bCs/>
        </w:rPr>
        <w:t xml:space="preserve">на право заключения </w:t>
      </w:r>
      <w:proofErr w:type="gramStart"/>
      <w:r w:rsidRPr="006A66F6">
        <w:rPr>
          <w:bCs/>
        </w:rPr>
        <w:t>договора</w:t>
      </w:r>
      <w:proofErr w:type="gramEnd"/>
      <w:r w:rsidRPr="006A66F6">
        <w:rPr>
          <w:bCs/>
        </w:rPr>
        <w:t xml:space="preserve"> </w:t>
      </w:r>
      <w:r w:rsidR="00C7735E" w:rsidRPr="006A66F6">
        <w:rPr>
          <w:bCs/>
        </w:rPr>
        <w:t>на выполнение</w:t>
      </w:r>
      <w:r w:rsidR="004F7C6E">
        <w:rPr>
          <w:bCs/>
        </w:rPr>
        <w:t xml:space="preserve"> работ по</w:t>
      </w:r>
      <w:r w:rsidR="00C7735E" w:rsidRPr="006A66F6">
        <w:rPr>
          <w:bCs/>
        </w:rPr>
        <w:t xml:space="preserve"> реконструкции полов</w:t>
      </w: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2018г.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6.4</w:t>
        </w:r>
        <w:r w:rsidR="00E61DF3" w:rsidRPr="006A66F6">
          <w:tab/>
          <w:t>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E61DF3" w:rsidRPr="006A66F6">
          <w:t>Принятие решения о проведении дополнительных этапов процедуры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Уведомление Участников о результатах [указать вид процедуры]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6" w:history="1">
        <w:r w:rsidR="00E61DF3" w:rsidRPr="006A66F6">
          <w:t>10.3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40D07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ИНСТРУКЦИИ" w:history="1">
        <w:r w:rsidR="00E61DF3" w:rsidRPr="006A66F6">
          <w:t>10.4.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</w:p>
    <w:p w:rsidR="006A66F6" w:rsidRPr="006A66F6" w:rsidRDefault="006A66F6" w:rsidP="006A66F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 </w:t>
      </w:r>
      <w:r w:rsidRPr="006A66F6">
        <w:rPr>
          <w:b/>
          <w:sz w:val="24"/>
          <w:szCs w:val="24"/>
        </w:rPr>
        <w:t>на выполнение работ по реконструкции полов по адресам:</w:t>
      </w:r>
    </w:p>
    <w:p w:rsidR="00E61DF3" w:rsidRPr="006A66F6" w:rsidRDefault="006A66F6" w:rsidP="006A66F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- 124460,г. Москва, г</w:t>
      </w:r>
      <w:proofErr w:type="gramStart"/>
      <w:r w:rsidRPr="006A66F6">
        <w:rPr>
          <w:b/>
          <w:sz w:val="24"/>
          <w:szCs w:val="24"/>
        </w:rPr>
        <w:t>.З</w:t>
      </w:r>
      <w:proofErr w:type="gramEnd"/>
      <w:r w:rsidRPr="006A66F6">
        <w:rPr>
          <w:b/>
          <w:sz w:val="24"/>
          <w:szCs w:val="24"/>
        </w:rPr>
        <w:t>еленоград, проезд 4801, дом 7, стр. 3, 1 этаж, помещения №№76, 91, 127. Основное средство «Здание № 100000» инв. №100000;</w:t>
      </w:r>
    </w:p>
    <w:p w:rsidR="006A66F6" w:rsidRPr="006A66F6" w:rsidRDefault="006A66F6" w:rsidP="006A66F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124460,г. Москва, г</w:t>
      </w:r>
      <w:proofErr w:type="gramStart"/>
      <w:r w:rsidRPr="006A66F6">
        <w:rPr>
          <w:b/>
          <w:sz w:val="24"/>
          <w:szCs w:val="24"/>
        </w:rPr>
        <w:t>.З</w:t>
      </w:r>
      <w:proofErr w:type="gramEnd"/>
      <w:r w:rsidRPr="006A66F6">
        <w:rPr>
          <w:b/>
          <w:sz w:val="24"/>
          <w:szCs w:val="24"/>
        </w:rPr>
        <w:t>еленоград, проезд 4801, дом 7, стр. 3, 3 этаж, помещения №№27, 64а, 64б. Основное средство «Здание № 100000» инв. №100000.</w:t>
      </w:r>
    </w:p>
    <w:p w:rsidR="006A66F6" w:rsidRPr="006A66F6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="00885C72" w:rsidRPr="006A66F6">
        <w:rPr>
          <w:sz w:val="24"/>
          <w:szCs w:val="24"/>
        </w:rPr>
        <w:t xml:space="preserve"> -  </w:t>
      </w:r>
      <w:r w:rsidRPr="006A66F6">
        <w:rPr>
          <w:sz w:val="24"/>
          <w:szCs w:val="24"/>
        </w:rPr>
        <w:t xml:space="preserve">контактное лицо – </w:t>
      </w:r>
    </w:p>
    <w:p w:rsidR="006A66F6" w:rsidRPr="004F7C6E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 w:rsidR="002A2F3B">
        <w:rPr>
          <w:sz w:val="24"/>
          <w:szCs w:val="24"/>
        </w:rPr>
        <w:t>Балашов Илья Николаевич</w:t>
      </w:r>
      <w:r w:rsidRPr="006A66F6">
        <w:rPr>
          <w:sz w:val="24"/>
          <w:szCs w:val="24"/>
        </w:rPr>
        <w:t xml:space="preserve"> тел. </w:t>
      </w:r>
      <w:r w:rsidRPr="002D5EF2">
        <w:rPr>
          <w:sz w:val="24"/>
          <w:szCs w:val="24"/>
        </w:rPr>
        <w:t xml:space="preserve">+7 (919) </w:t>
      </w:r>
      <w:r w:rsidR="002A2F3B" w:rsidRPr="002D5EF2">
        <w:rPr>
          <w:sz w:val="24"/>
          <w:szCs w:val="24"/>
        </w:rPr>
        <w:t>765-81-11</w:t>
      </w:r>
      <w:r w:rsidRPr="002D5EF2">
        <w:rPr>
          <w:sz w:val="24"/>
          <w:szCs w:val="24"/>
        </w:rPr>
        <w:t xml:space="preserve">, </w:t>
      </w:r>
      <w:r w:rsidRPr="002A2F3B">
        <w:rPr>
          <w:sz w:val="24"/>
          <w:szCs w:val="24"/>
          <w:lang w:val="en-US"/>
        </w:rPr>
        <w:t>e</w:t>
      </w:r>
      <w:r w:rsidRPr="002D5EF2">
        <w:rPr>
          <w:sz w:val="24"/>
          <w:szCs w:val="24"/>
        </w:rPr>
        <w:t>-</w:t>
      </w:r>
      <w:r w:rsidRPr="002A2F3B">
        <w:rPr>
          <w:sz w:val="24"/>
          <w:szCs w:val="24"/>
          <w:lang w:val="en-US"/>
        </w:rPr>
        <w:t>mail</w:t>
      </w:r>
      <w:r w:rsidRPr="002D5EF2">
        <w:rPr>
          <w:sz w:val="24"/>
          <w:szCs w:val="24"/>
        </w:rPr>
        <w:t xml:space="preserve">: </w:t>
      </w:r>
      <w:hyperlink r:id="rId10" w:history="1">
        <w:r w:rsidR="002A2F3B" w:rsidRPr="00FF0362">
          <w:rPr>
            <w:rStyle w:val="a4"/>
            <w:sz w:val="24"/>
            <w:szCs w:val="24"/>
            <w:lang w:val="en-US"/>
          </w:rPr>
          <w:t>ibalashov</w:t>
        </w:r>
        <w:r w:rsidR="002A2F3B" w:rsidRPr="002D5EF2">
          <w:rPr>
            <w:rStyle w:val="a4"/>
            <w:sz w:val="24"/>
            <w:szCs w:val="24"/>
          </w:rPr>
          <w:t>@</w:t>
        </w:r>
        <w:r w:rsidR="002A2F3B" w:rsidRPr="00FF0362">
          <w:rPr>
            <w:rStyle w:val="a4"/>
            <w:sz w:val="24"/>
            <w:szCs w:val="24"/>
            <w:lang w:val="en-US"/>
          </w:rPr>
          <w:t>koncel</w:t>
        </w:r>
        <w:r w:rsidR="002A2F3B" w:rsidRPr="002D5EF2">
          <w:rPr>
            <w:rStyle w:val="a4"/>
            <w:sz w:val="24"/>
            <w:szCs w:val="24"/>
          </w:rPr>
          <w:t>.</w:t>
        </w:r>
        <w:r w:rsidR="002A2F3B" w:rsidRPr="00FF0362">
          <w:rPr>
            <w:rStyle w:val="a4"/>
            <w:sz w:val="24"/>
            <w:szCs w:val="24"/>
            <w:lang w:val="en-US"/>
          </w:rPr>
          <w:t>com</w:t>
        </w:r>
      </w:hyperlink>
      <w:r w:rsidR="004F7C6E">
        <w:rPr>
          <w:rStyle w:val="a4"/>
          <w:sz w:val="24"/>
          <w:szCs w:val="24"/>
        </w:rPr>
        <w:t>, понедельник-пятница с 9.00 до 18.00.</w:t>
      </w:r>
    </w:p>
    <w:p w:rsidR="002A2F3B" w:rsidRPr="002A2F3B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оформлению заявки: </w:t>
      </w:r>
      <w:r w:rsidR="002A2F3B">
        <w:rPr>
          <w:sz w:val="24"/>
          <w:szCs w:val="24"/>
        </w:rPr>
        <w:t>Емельянова Светлана Петровна</w:t>
      </w:r>
      <w:r w:rsidRPr="006A66F6">
        <w:rPr>
          <w:sz w:val="24"/>
          <w:szCs w:val="24"/>
        </w:rPr>
        <w:t xml:space="preserve"> тел. 8 (495) </w:t>
      </w:r>
      <w:r w:rsidR="002A2F3B">
        <w:rPr>
          <w:sz w:val="24"/>
          <w:szCs w:val="24"/>
        </w:rPr>
        <w:t>229-74-74</w:t>
      </w:r>
      <w:r w:rsidRPr="006A66F6">
        <w:rPr>
          <w:sz w:val="24"/>
          <w:szCs w:val="24"/>
        </w:rPr>
        <w:t xml:space="preserve"> доб. </w:t>
      </w:r>
      <w:r w:rsidR="002A2F3B">
        <w:rPr>
          <w:sz w:val="24"/>
          <w:szCs w:val="24"/>
        </w:rPr>
        <w:t>55-00</w:t>
      </w:r>
      <w:r w:rsidRPr="006A66F6">
        <w:rPr>
          <w:sz w:val="24"/>
          <w:szCs w:val="24"/>
        </w:rPr>
        <w:t xml:space="preserve">, e-mail: </w:t>
      </w:r>
      <w:hyperlink r:id="rId11" w:history="1">
        <w:r w:rsidR="002A2F3B" w:rsidRPr="00FF0362">
          <w:rPr>
            <w:rStyle w:val="a4"/>
            <w:sz w:val="24"/>
            <w:szCs w:val="24"/>
          </w:rPr>
          <w:t>semelyanova@koncel.com</w:t>
        </w:r>
      </w:hyperlink>
      <w:r w:rsidR="004F7C6E">
        <w:rPr>
          <w:rStyle w:val="a4"/>
          <w:sz w:val="24"/>
          <w:szCs w:val="24"/>
        </w:rPr>
        <w:t>, понедельник-пятница с 8.00 до 17.00</w:t>
      </w:r>
    </w:p>
    <w:p w:rsidR="006A66F6" w:rsidRDefault="006A66F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2A2F3B">
        <w:rPr>
          <w:b/>
          <w:sz w:val="24"/>
          <w:szCs w:val="24"/>
        </w:rPr>
        <w:t xml:space="preserve">24.07.2018 г., </w:t>
      </w:r>
      <w:r w:rsidR="00353686">
        <w:rPr>
          <w:b/>
          <w:sz w:val="24"/>
          <w:szCs w:val="24"/>
        </w:rPr>
        <w:t>17</w:t>
      </w:r>
      <w:r w:rsidRPr="002A2F3B">
        <w:rPr>
          <w:b/>
          <w:sz w:val="24"/>
          <w:szCs w:val="24"/>
        </w:rPr>
        <w:t xml:space="preserve">:00 часов (местное время). 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bookmarkStart w:id="1" w:name="_GoBack"/>
      <w:bookmarkEnd w:id="1"/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</w:t>
      </w:r>
      <w:r w:rsidRPr="006A66F6">
        <w:rPr>
          <w:sz w:val="24"/>
          <w:szCs w:val="24"/>
        </w:rPr>
        <w:lastRenderedPageBreak/>
        <w:t>последнем (финальном) этапе запроса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4422AF" w:rsidRPr="006A66F6" w:rsidRDefault="004422AF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87614" w:rsidRPr="006A66F6" w:rsidRDefault="004422AF" w:rsidP="0088761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887614" w:rsidRPr="006A66F6">
        <w:rPr>
          <w:b/>
          <w:sz w:val="24"/>
          <w:szCs w:val="24"/>
        </w:rPr>
        <w:t>ыполнение работ по реконструкции полов по адресам:</w:t>
      </w:r>
    </w:p>
    <w:p w:rsidR="00887614" w:rsidRPr="006A66F6" w:rsidRDefault="00887614" w:rsidP="0088761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- 124460,г. Москва, г</w:t>
      </w:r>
      <w:proofErr w:type="gramStart"/>
      <w:r w:rsidRPr="006A66F6">
        <w:rPr>
          <w:b/>
          <w:sz w:val="24"/>
          <w:szCs w:val="24"/>
        </w:rPr>
        <w:t>.З</w:t>
      </w:r>
      <w:proofErr w:type="gramEnd"/>
      <w:r w:rsidRPr="006A66F6">
        <w:rPr>
          <w:b/>
          <w:sz w:val="24"/>
          <w:szCs w:val="24"/>
        </w:rPr>
        <w:t>еленоград, проезд 4801, дом 7, стр. 3, 1 этаж, помещения №№76, 91, 127. Основное средство «Здание № 100000» инв. №100000;</w:t>
      </w:r>
    </w:p>
    <w:p w:rsidR="00887614" w:rsidRDefault="00887614" w:rsidP="0088761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124460,г. Москва, г</w:t>
      </w:r>
      <w:proofErr w:type="gramStart"/>
      <w:r w:rsidRPr="006A66F6">
        <w:rPr>
          <w:b/>
          <w:sz w:val="24"/>
          <w:szCs w:val="24"/>
        </w:rPr>
        <w:t>.З</w:t>
      </w:r>
      <w:proofErr w:type="gramEnd"/>
      <w:r w:rsidRPr="006A66F6">
        <w:rPr>
          <w:b/>
          <w:sz w:val="24"/>
          <w:szCs w:val="24"/>
        </w:rPr>
        <w:t>еленоград, проезд 4801, дом 7, стр. 3, 3 этаж, помещения №№27, 64а, 64б. Основное средство «Здание № 100000» инв. №100000</w:t>
      </w:r>
    </w:p>
    <w:p w:rsidR="00887614" w:rsidRDefault="00887614" w:rsidP="0088761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887614" w:rsidRDefault="00E61DF3" w:rsidP="00887614">
      <w:pPr>
        <w:pStyle w:val="af0"/>
        <w:numPr>
          <w:ilvl w:val="1"/>
          <w:numId w:val="20"/>
        </w:numPr>
        <w:tabs>
          <w:tab w:val="num" w:pos="0"/>
        </w:tabs>
        <w:spacing w:line="240" w:lineRule="auto"/>
        <w:rPr>
          <w:b/>
          <w:bCs/>
          <w:iCs/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закупаемой продукции: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887614" w:rsidRDefault="00E61DF3" w:rsidP="00887614">
      <w:pPr>
        <w:pStyle w:val="20"/>
        <w:numPr>
          <w:ilvl w:val="2"/>
          <w:numId w:val="20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27" w:name="_Toc251847612"/>
      <w:r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7"/>
      <w:r w:rsidR="0067527A" w:rsidRPr="006A66F6">
        <w:rPr>
          <w:rFonts w:ascii="Times New Roman" w:hAnsi="Times New Roman"/>
          <w:sz w:val="24"/>
          <w:szCs w:val="24"/>
        </w:rPr>
        <w:t xml:space="preserve"> </w:t>
      </w:r>
    </w:p>
    <w:p w:rsidR="003714D5" w:rsidRDefault="003714D5" w:rsidP="003714D5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3714D5" w:rsidRDefault="003714D5" w:rsidP="00887614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887614" w:rsidRPr="00887614" w:rsidRDefault="00887614" w:rsidP="00887614">
      <w:pPr>
        <w:spacing w:line="276" w:lineRule="auto"/>
        <w:ind w:firstLine="0"/>
        <w:rPr>
          <w:rFonts w:eastAsia="Calibri"/>
          <w:b/>
          <w:sz w:val="22"/>
          <w:szCs w:val="22"/>
          <w:u w:val="single"/>
          <w:lang w:eastAsia="en-US"/>
        </w:rPr>
      </w:pPr>
      <w:r w:rsidRPr="00887614">
        <w:rPr>
          <w:rFonts w:eastAsia="Calibri"/>
          <w:b/>
          <w:sz w:val="22"/>
          <w:szCs w:val="22"/>
          <w:u w:val="single"/>
          <w:lang w:eastAsia="en-US"/>
        </w:rPr>
        <w:t>Выполнение работ по реконструкции полов по адресу: 124460,г. Москва, г. Зеленоград, проезд 4801, дом 7, стр. 3, 1 этаж, помещения №№76, 91, 127. Основное средство «Здание № 100000» инв. №100000.</w:t>
      </w:r>
    </w:p>
    <w:p w:rsidR="00887614" w:rsidRPr="00887614" w:rsidRDefault="00887614" w:rsidP="00887614">
      <w:pPr>
        <w:spacing w:line="276" w:lineRule="auto"/>
        <w:ind w:left="360" w:firstLine="0"/>
        <w:rPr>
          <w:rFonts w:eastAsia="Calibri"/>
          <w:sz w:val="14"/>
          <w:szCs w:val="22"/>
          <w:u w:val="single"/>
          <w:lang w:eastAsia="en-US"/>
        </w:rPr>
      </w:pPr>
    </w:p>
    <w:p w:rsidR="00887614" w:rsidRPr="00887614" w:rsidRDefault="00887614" w:rsidP="00887614">
      <w:pPr>
        <w:spacing w:line="276" w:lineRule="auto"/>
        <w:ind w:left="360" w:firstLine="0"/>
        <w:rPr>
          <w:rFonts w:eastAsia="Calibri"/>
          <w:sz w:val="22"/>
          <w:szCs w:val="22"/>
          <w:lang w:eastAsia="en-US"/>
        </w:rPr>
      </w:pPr>
      <w:r w:rsidRPr="00887614">
        <w:rPr>
          <w:rFonts w:eastAsia="Calibri"/>
          <w:sz w:val="22"/>
          <w:szCs w:val="22"/>
          <w:lang w:eastAsia="en-US"/>
        </w:rPr>
        <w:t>Перечень работ:</w:t>
      </w:r>
      <w:r w:rsidRPr="00887614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lastRenderedPageBreak/>
        <w:t>На площади 1502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 необходимо произвести демонтаж старого полимерного покрытия пола.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Произвести дефектовку бетонного основания и локальный ремонт трещин в нём.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На площади 826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: 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а) Произвести шлифовку бетонного основания до состояния отклонения на двухметровой рейке не более 4 мм, обеспыливание и грунтование.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б) Нанести один или несколько слоёв полимерного покрытия пола. Цвет полов – серый. Покрытие пола глянцевое для лёгкой очистки без помощи моющих машин.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в) Работы производить захватками по 200-250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 без остановки производственной деятельности арендаторов помещений. 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г) После нанесения нового полимерного покрытия полы должны выдерживать следующие нагрузки: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– Температурный режим в районе погрузочных ворот (160 м</w:t>
      </w:r>
      <w:r w:rsidRPr="00887614">
        <w:rPr>
          <w:sz w:val="24"/>
          <w:szCs w:val="24"/>
          <w:vertAlign w:val="superscript"/>
        </w:rPr>
        <w:t>2</w:t>
      </w:r>
      <w:r w:rsidRPr="00887614">
        <w:rPr>
          <w:sz w:val="24"/>
          <w:szCs w:val="24"/>
        </w:rPr>
        <w:t>) от -20 до +30</w:t>
      </w:r>
      <w:proofErr w:type="gramStart"/>
      <w:r w:rsidRPr="00887614">
        <w:rPr>
          <w:sz w:val="24"/>
          <w:szCs w:val="24"/>
        </w:rPr>
        <w:t>°С</w:t>
      </w:r>
      <w:proofErr w:type="gramEnd"/>
      <w:r w:rsidRPr="00887614">
        <w:rPr>
          <w:sz w:val="24"/>
          <w:szCs w:val="24"/>
        </w:rPr>
        <w:t xml:space="preserve"> с резкими перепадами.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Температурный режим в остальных зонах от +5 до +30°С.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Динамические нагрузки: погрузчики на резиновом ходу весом до 4500 кг и грузоподъёмностью до 3000 кг, гидравлические тележки грузоподъёмностью до 2000 кг.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падение слесарного инструмента.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 xml:space="preserve">- абразивный износ от колёс погрузчиков и гидравлических тележек с интенсивностью до 100 </w:t>
      </w:r>
      <w:proofErr w:type="spellStart"/>
      <w:proofErr w:type="gramStart"/>
      <w:r w:rsidRPr="00887614">
        <w:rPr>
          <w:sz w:val="24"/>
          <w:szCs w:val="24"/>
        </w:rPr>
        <w:t>ед</w:t>
      </w:r>
      <w:proofErr w:type="spellEnd"/>
      <w:proofErr w:type="gram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 xml:space="preserve">, и от пешеходов с интенсивностью свыше 500 </w:t>
      </w:r>
      <w:proofErr w:type="spellStart"/>
      <w:r w:rsidRPr="00887614">
        <w:rPr>
          <w:sz w:val="24"/>
          <w:szCs w:val="24"/>
        </w:rPr>
        <w:t>ед</w:t>
      </w:r>
      <w:proofErr w:type="spell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>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200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На площади 676 м</w:t>
      </w:r>
      <w:proofErr w:type="gramStart"/>
      <w:r w:rsidRPr="00887614">
        <w:rPr>
          <w:sz w:val="24"/>
          <w:szCs w:val="24"/>
        </w:rPr>
        <w:t>2</w:t>
      </w:r>
      <w:proofErr w:type="gramEnd"/>
      <w:r w:rsidRPr="00887614">
        <w:rPr>
          <w:sz w:val="24"/>
          <w:szCs w:val="24"/>
        </w:rPr>
        <w:t xml:space="preserve">: </w:t>
      </w:r>
    </w:p>
    <w:p w:rsidR="00887614" w:rsidRPr="00887614" w:rsidRDefault="00887614" w:rsidP="00887614">
      <w:pPr>
        <w:shd w:val="clear" w:color="auto" w:fill="FFFFFF"/>
        <w:spacing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а) Произвести шлифовку бетонного основания, обеспыливание, грунтование и нанести финишный слой полимерного покрытия пола (окрасочное покрытие). Цвет полов – серый. Покрытие пола глянцевое для лёгкой очистки без помощи моющих машин.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б) Работы производить захватками по 200-250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 без остановки производственной деятельности арендаторов помещений.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в) После нанесения нового полимерного покрытия полы должны выдерживать следующие нагрузки: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Температурный режим от +5 до +30°С.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Динамические нагрузки: погрузчики на резиновом ходу весом до 4500 кг и грузоподъёмностью до 3000 кг, гидравлические тележки грузоподъёмностью до 2000 кг.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падение слесарного инструмента.</w:t>
      </w:r>
    </w:p>
    <w:p w:rsidR="00887614" w:rsidRPr="00887614" w:rsidRDefault="00887614" w:rsidP="00887614">
      <w:pPr>
        <w:shd w:val="clear" w:color="auto" w:fill="FFFFFF"/>
        <w:spacing w:before="100" w:before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 xml:space="preserve">- абразивный износ от колёс погрузчиков и гидравлических тележек с интенсивностью до 50 </w:t>
      </w:r>
      <w:proofErr w:type="spellStart"/>
      <w:proofErr w:type="gramStart"/>
      <w:r w:rsidRPr="00887614">
        <w:rPr>
          <w:sz w:val="24"/>
          <w:szCs w:val="24"/>
        </w:rPr>
        <w:t>ед</w:t>
      </w:r>
      <w:proofErr w:type="spellEnd"/>
      <w:proofErr w:type="gram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 xml:space="preserve">, и от пешеходов с интенсивностью до 100 </w:t>
      </w:r>
      <w:proofErr w:type="spellStart"/>
      <w:r w:rsidRPr="00887614">
        <w:rPr>
          <w:sz w:val="24"/>
          <w:szCs w:val="24"/>
        </w:rPr>
        <w:t>ед</w:t>
      </w:r>
      <w:proofErr w:type="spell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>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В ходе работ и по их завершению, вывезти образовавшийся строительный мусор в места его утилизации.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При производстве работ руководствоваться следующими документами: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2.03.13 – 88 Полы;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3.01.01 – 85 Организация строительного производства;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3.03.01 – 87 Несущие и ограждающие конструкции;</w:t>
      </w:r>
    </w:p>
    <w:p w:rsidR="00887614" w:rsidRPr="00887614" w:rsidRDefault="00887614" w:rsidP="00887614">
      <w:pPr>
        <w:numPr>
          <w:ilvl w:val="0"/>
          <w:numId w:val="24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887614">
        <w:rPr>
          <w:rFonts w:eastAsia="Calibri"/>
          <w:sz w:val="24"/>
          <w:szCs w:val="24"/>
          <w:lang w:eastAsia="en-US"/>
        </w:rPr>
        <w:t>Работы выполнить силами и материалами подрядчика. Применяемые материалы не должны иметь резкого запаха.</w:t>
      </w:r>
    </w:p>
    <w:p w:rsidR="00887614" w:rsidRPr="00887614" w:rsidRDefault="00887614" w:rsidP="008876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rFonts w:eastAsia="Calibri"/>
          <w:bCs/>
          <w:sz w:val="24"/>
          <w:szCs w:val="24"/>
          <w:lang w:eastAsia="en-US"/>
        </w:rPr>
        <w:t>Подрядчик несет полную ответственность за соблюдения правил охраны труда и пожарной безопасности при проведении работ.</w:t>
      </w:r>
    </w:p>
    <w:p w:rsidR="003714D5" w:rsidRDefault="003714D5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887614" w:rsidRDefault="00887614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887614" w:rsidRPr="00887614" w:rsidRDefault="00887614" w:rsidP="00887614">
      <w:pPr>
        <w:spacing w:after="120" w:line="276" w:lineRule="auto"/>
        <w:ind w:firstLine="0"/>
        <w:rPr>
          <w:rFonts w:eastAsia="Calibri"/>
          <w:b/>
          <w:sz w:val="22"/>
          <w:szCs w:val="22"/>
          <w:u w:val="single"/>
          <w:lang w:eastAsia="en-US"/>
        </w:rPr>
      </w:pPr>
      <w:r w:rsidRPr="00887614">
        <w:rPr>
          <w:rFonts w:eastAsia="Calibri"/>
          <w:b/>
          <w:sz w:val="22"/>
          <w:szCs w:val="22"/>
          <w:u w:val="single"/>
          <w:lang w:eastAsia="en-US"/>
        </w:rPr>
        <w:lastRenderedPageBreak/>
        <w:t>Выполнение работ по реконструкции полов по адресу: 124460,г. Москва, г</w:t>
      </w:r>
      <w:proofErr w:type="gramStart"/>
      <w:r w:rsidRPr="00887614">
        <w:rPr>
          <w:rFonts w:eastAsia="Calibri"/>
          <w:b/>
          <w:sz w:val="22"/>
          <w:szCs w:val="22"/>
          <w:u w:val="single"/>
          <w:lang w:eastAsia="en-US"/>
        </w:rPr>
        <w:t>.З</w:t>
      </w:r>
      <w:proofErr w:type="gramEnd"/>
      <w:r w:rsidRPr="00887614">
        <w:rPr>
          <w:rFonts w:eastAsia="Calibri"/>
          <w:b/>
          <w:sz w:val="22"/>
          <w:szCs w:val="22"/>
          <w:u w:val="single"/>
          <w:lang w:eastAsia="en-US"/>
        </w:rPr>
        <w:t>еленоград, проезд 4801, дом 7, стр. 3, 3 этаж, помещения №№27, 64а, 64б. Основное средство «Здание № 100000» инв. №100000.</w:t>
      </w:r>
    </w:p>
    <w:p w:rsidR="00887614" w:rsidRPr="00887614" w:rsidRDefault="00887614" w:rsidP="00887614">
      <w:pPr>
        <w:spacing w:line="276" w:lineRule="auto"/>
        <w:ind w:left="360" w:firstLine="0"/>
        <w:rPr>
          <w:rFonts w:eastAsia="Calibri"/>
          <w:b/>
          <w:sz w:val="22"/>
          <w:szCs w:val="22"/>
          <w:u w:val="single"/>
          <w:lang w:eastAsia="en-US"/>
        </w:rPr>
      </w:pPr>
    </w:p>
    <w:p w:rsidR="00887614" w:rsidRPr="00887614" w:rsidRDefault="00887614" w:rsidP="00887614">
      <w:pPr>
        <w:spacing w:line="276" w:lineRule="auto"/>
        <w:ind w:left="360" w:firstLine="0"/>
        <w:rPr>
          <w:rFonts w:eastAsia="Calibri"/>
          <w:sz w:val="22"/>
          <w:szCs w:val="22"/>
          <w:lang w:eastAsia="en-US"/>
        </w:rPr>
      </w:pPr>
      <w:r w:rsidRPr="00887614">
        <w:rPr>
          <w:rFonts w:eastAsia="Calibri"/>
          <w:sz w:val="22"/>
          <w:szCs w:val="22"/>
          <w:lang w:eastAsia="en-US"/>
        </w:rPr>
        <w:t>Перечень работ:</w:t>
      </w:r>
      <w:r w:rsidRPr="00887614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На площади 697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 необходимо произвести демонтаж старого полимерного покрытия пола.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Произвести дефектовку бетонного основания и локальный ремонт трещин в нём.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После подготовительных работ: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а) Произвести шлифовку бетонного основания до состояния отклонения на двухметровой рейке не более 4 мм, обеспыливание и грунтование.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б) Нанести один или несколько слоёв полимерного покрытия пола. Цвет полов – серый. Покрытие пола глянцевое для лёгкой очистки без помощи моющих машин.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в) Работы производить захватками по 200-250 м</w:t>
      </w:r>
      <w:proofErr w:type="gramStart"/>
      <w:r w:rsidRPr="00887614">
        <w:rPr>
          <w:sz w:val="24"/>
          <w:szCs w:val="24"/>
          <w:vertAlign w:val="superscript"/>
        </w:rPr>
        <w:t>2</w:t>
      </w:r>
      <w:proofErr w:type="gramEnd"/>
      <w:r w:rsidRPr="00887614">
        <w:rPr>
          <w:sz w:val="24"/>
          <w:szCs w:val="24"/>
        </w:rPr>
        <w:t xml:space="preserve"> без остановки производственной деятельности арендаторов помещений.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г) После нанесения нового полимерного покрытия полы должны выдерживать следующие нагрузки: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Температурный режим от +10 до +35°С.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Динамические нагрузки: электроштабелёры на резиновом ходу весом до 2500 кг и грузоподъёмностью до 1500 кг, гидравлические тележки грузоподъёмностью до 2000 кг.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падение слесарного инструмента.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40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 xml:space="preserve">- абразивный износ от колёс погрузчиков и гидравлических тележек с интенсивностью до 50 </w:t>
      </w:r>
      <w:proofErr w:type="spellStart"/>
      <w:proofErr w:type="gramStart"/>
      <w:r w:rsidRPr="00887614">
        <w:rPr>
          <w:sz w:val="24"/>
          <w:szCs w:val="24"/>
        </w:rPr>
        <w:t>ед</w:t>
      </w:r>
      <w:proofErr w:type="spellEnd"/>
      <w:proofErr w:type="gram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 xml:space="preserve">, и от пешеходов с интенсивностью до 500 </w:t>
      </w:r>
      <w:proofErr w:type="spellStart"/>
      <w:r w:rsidRPr="00887614">
        <w:rPr>
          <w:sz w:val="24"/>
          <w:szCs w:val="24"/>
        </w:rPr>
        <w:t>ед</w:t>
      </w:r>
      <w:proofErr w:type="spellEnd"/>
      <w:r w:rsidRPr="00887614">
        <w:rPr>
          <w:sz w:val="24"/>
          <w:szCs w:val="24"/>
        </w:rPr>
        <w:t>/</w:t>
      </w:r>
      <w:proofErr w:type="spellStart"/>
      <w:r w:rsidRPr="00887614">
        <w:rPr>
          <w:sz w:val="24"/>
          <w:szCs w:val="24"/>
        </w:rPr>
        <w:t>сут</w:t>
      </w:r>
      <w:proofErr w:type="spellEnd"/>
      <w:r w:rsidRPr="00887614">
        <w:rPr>
          <w:sz w:val="24"/>
          <w:szCs w:val="24"/>
        </w:rPr>
        <w:t>.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В ходе работ и по их завершению, вывезти образовавшийся строительный мусор в места его утилизации.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При производстве работ руководствоваться следующими документами: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2.03.13 – 88 Полы;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3.01.01 – 85 Организация строительного производства;</w:t>
      </w:r>
    </w:p>
    <w:p w:rsidR="00887614" w:rsidRPr="00887614" w:rsidRDefault="00887614" w:rsidP="00887614">
      <w:pPr>
        <w:shd w:val="clear" w:color="auto" w:fill="FFFFFF"/>
        <w:spacing w:before="100" w:beforeAutospacing="1" w:after="100" w:afterAutospacing="1" w:line="276" w:lineRule="auto"/>
        <w:ind w:left="720" w:firstLine="0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- СНиП 3.03.01 – 87 Несущие и ограждающие конструкции;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Работы выполнить силами и материалами подрядчика. Применяемые материалы не должны иметь резкого запаха.</w:t>
      </w:r>
    </w:p>
    <w:p w:rsidR="00887614" w:rsidRPr="00887614" w:rsidRDefault="00887614" w:rsidP="008876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887614">
        <w:rPr>
          <w:sz w:val="24"/>
          <w:szCs w:val="24"/>
        </w:rPr>
        <w:t>Подрядчик несет полную ответственность за соблюдения правил охраны труда и пожарной безопасности при проведении работ.</w:t>
      </w:r>
    </w:p>
    <w:p w:rsidR="00887614" w:rsidRPr="00887614" w:rsidRDefault="00887614" w:rsidP="00887614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887614">
        <w:rPr>
          <w:rFonts w:eastAsia="Calibri"/>
          <w:sz w:val="22"/>
          <w:szCs w:val="22"/>
          <w:lang w:eastAsia="en-US"/>
        </w:rPr>
        <w:t xml:space="preserve">         </w:t>
      </w:r>
    </w:p>
    <w:p w:rsidR="00197923" w:rsidRDefault="00E61DF3" w:rsidP="00197923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_Toc251847613"/>
      <w:r w:rsidRPr="003714D5">
        <w:rPr>
          <w:rFonts w:ascii="Times New Roman" w:hAnsi="Times New Roman"/>
          <w:sz w:val="24"/>
          <w:szCs w:val="24"/>
        </w:rPr>
        <w:t>Коммерческая часть</w:t>
      </w:r>
      <w:bookmarkEnd w:id="28"/>
      <w:r w:rsidR="003714D5">
        <w:rPr>
          <w:rFonts w:ascii="Times New Roman" w:hAnsi="Times New Roman"/>
          <w:sz w:val="24"/>
          <w:szCs w:val="24"/>
        </w:rPr>
        <w:t xml:space="preserve">. </w:t>
      </w:r>
    </w:p>
    <w:p w:rsidR="003714D5" w:rsidRPr="003714D5" w:rsidRDefault="003714D5" w:rsidP="00197923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7923" w:rsidRPr="00197923" w:rsidRDefault="00197923" w:rsidP="00197923">
      <w:pPr>
        <w:pStyle w:val="20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>Срок проведения работ 30 календарных дней.</w:t>
      </w:r>
    </w:p>
    <w:p w:rsidR="00887614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87614" w:rsidRDefault="00197923" w:rsidP="0088761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</w:t>
      </w:r>
      <w:r w:rsidR="00604FB0">
        <w:rPr>
          <w:sz w:val="24"/>
          <w:szCs w:val="24"/>
        </w:rPr>
        <w:t xml:space="preserve">Уменьшение </w:t>
      </w:r>
      <w:r w:rsidR="00887614" w:rsidRPr="00887614">
        <w:rPr>
          <w:sz w:val="24"/>
          <w:szCs w:val="24"/>
        </w:rPr>
        <w:t>размер</w:t>
      </w:r>
      <w:r w:rsidR="00604FB0">
        <w:rPr>
          <w:sz w:val="24"/>
          <w:szCs w:val="24"/>
        </w:rPr>
        <w:t>а</w:t>
      </w:r>
      <w:r w:rsidR="00887614" w:rsidRPr="00887614">
        <w:rPr>
          <w:sz w:val="24"/>
          <w:szCs w:val="24"/>
        </w:rPr>
        <w:t xml:space="preserve"> авансового платежа </w:t>
      </w:r>
      <w:proofErr w:type="gramStart"/>
      <w:r w:rsidR="00887614" w:rsidRPr="00887614">
        <w:rPr>
          <w:sz w:val="24"/>
          <w:szCs w:val="24"/>
        </w:rPr>
        <w:t>будет</w:t>
      </w:r>
      <w:proofErr w:type="gramEnd"/>
      <w:r w:rsidR="00887614" w:rsidRPr="00887614">
        <w:rPr>
          <w:sz w:val="24"/>
          <w:szCs w:val="24"/>
        </w:rPr>
        <w:t xml:space="preserve"> является преимущество</w:t>
      </w:r>
      <w:r>
        <w:rPr>
          <w:sz w:val="24"/>
          <w:szCs w:val="24"/>
        </w:rPr>
        <w:t>м при выборе конкретного Подряд</w:t>
      </w:r>
      <w:r w:rsidR="00887614" w:rsidRPr="00887614">
        <w:rPr>
          <w:sz w:val="24"/>
          <w:szCs w:val="24"/>
        </w:rPr>
        <w:t>чика.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9" w:name="_Toc189545073"/>
      <w:r w:rsidRPr="006A66F6">
        <w:rPr>
          <w:sz w:val="24"/>
          <w:szCs w:val="24"/>
        </w:rPr>
        <w:t>Предложения</w:t>
      </w:r>
      <w:r w:rsidRPr="006A66F6">
        <w:rPr>
          <w:b/>
          <w:sz w:val="24"/>
          <w:szCs w:val="24"/>
        </w:rPr>
        <w:t xml:space="preserve"> </w:t>
      </w:r>
      <w:r w:rsidRPr="006A66F6">
        <w:rPr>
          <w:sz w:val="24"/>
          <w:szCs w:val="24"/>
        </w:rPr>
        <w:t xml:space="preserve">Участников должны быть оформлены в соответствии с Формами, приведенными в разделе </w:t>
      </w:r>
      <w:r w:rsidR="004F7C6E">
        <w:rPr>
          <w:sz w:val="24"/>
          <w:szCs w:val="24"/>
        </w:rPr>
        <w:t>9</w:t>
      </w:r>
      <w:r w:rsidR="004F7C6E" w:rsidRPr="006A66F6">
        <w:rPr>
          <w:sz w:val="24"/>
          <w:szCs w:val="24"/>
        </w:rPr>
        <w:t xml:space="preserve"> </w:t>
      </w:r>
      <w:r w:rsidRPr="006A66F6">
        <w:rPr>
          <w:sz w:val="24"/>
          <w:szCs w:val="24"/>
        </w:rPr>
        <w:t>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A477F5">
      <w:pPr>
        <w:pStyle w:val="af0"/>
        <w:numPr>
          <w:ilvl w:val="0"/>
          <w:numId w:val="20"/>
        </w:numPr>
        <w:tabs>
          <w:tab w:val="num" w:pos="0"/>
        </w:tabs>
        <w:spacing w:line="240" w:lineRule="auto"/>
        <w:ind w:left="0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  <w:r w:rsidRPr="006A66F6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E61DF3" w:rsidRPr="006A66F6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</w:t>
      </w:r>
      <w:r w:rsidR="00197923" w:rsidRPr="00197923">
        <w:rPr>
          <w:sz w:val="24"/>
          <w:szCs w:val="24"/>
        </w:rPr>
        <w:lastRenderedPageBreak/>
        <w:t xml:space="preserve">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4422AF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lastRenderedPageBreak/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п.9</w:t>
      </w:r>
      <w:r w:rsidRPr="006A66F6">
        <w:rPr>
          <w:sz w:val="24"/>
          <w:szCs w:val="24"/>
        </w:rPr>
        <w:t>.3);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.4);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lastRenderedPageBreak/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«Общая стоимость работ и материалов»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60%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«Условия оплаты»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30%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«Условия оплаты»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– 30%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Коэффициент значимости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 =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lastRenderedPageBreak/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количественные 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«Общая стоимость работ и материалов » 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 - 60%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</w:t>
      </w:r>
      <w:r w:rsidRPr="007C5FD9">
        <w:rPr>
          <w:b/>
          <w:sz w:val="24"/>
          <w:szCs w:val="24"/>
        </w:rPr>
        <w:t>».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- 10%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Коэффициент значимости (</w:t>
      </w:r>
      <w:proofErr w:type="gramStart"/>
      <w:r w:rsidRPr="00AD7ED8">
        <w:rPr>
          <w:sz w:val="24"/>
          <w:szCs w:val="24"/>
        </w:rPr>
        <w:t>КЗ</w:t>
      </w:r>
      <w:proofErr w:type="gramEnd"/>
      <w:r w:rsidRPr="00AD7ED8">
        <w:rPr>
          <w:sz w:val="24"/>
          <w:szCs w:val="24"/>
        </w:rPr>
        <w:t xml:space="preserve">) = 1,0 (макс. 100 баллов)  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 xml:space="preserve">Толщина покрытия, </w:t>
            </w:r>
            <w:proofErr w:type="gramStart"/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</w:tr>
      <w:tr w:rsidR="00F82DDF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 xml:space="preserve">Время полимеризации материала до возможности хождения, </w:t>
            </w:r>
            <w:proofErr w:type="gramStart"/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</w:tr>
      <w:tr w:rsidR="00F82DDF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 xml:space="preserve">Время полимеризации материала до полной нагрузки, </w:t>
            </w:r>
            <w:proofErr w:type="spellStart"/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сут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20%</w:t>
            </w:r>
          </w:p>
        </w:tc>
      </w:tr>
      <w:tr w:rsidR="00F82DDF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Количество реализованных проектов на промышленных и складских объектах в М.О. за последние 2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20%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</w:t>
      </w:r>
      <w:r w:rsidRPr="00AD7ED8">
        <w:rPr>
          <w:sz w:val="24"/>
          <w:szCs w:val="24"/>
        </w:rPr>
        <w:lastRenderedPageBreak/>
        <w:t>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>ыть в виде неповторяющихся, пол</w:t>
      </w:r>
      <w:r w:rsidRPr="00AD7ED8">
        <w:rPr>
          <w:sz w:val="24"/>
          <w:szCs w:val="24"/>
        </w:rPr>
        <w:t>ночитаемых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F82DDF" w:rsidRPr="00604FB0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04FB0">
        <w:rPr>
          <w:sz w:val="24"/>
          <w:szCs w:val="24"/>
        </w:rPr>
        <w:t xml:space="preserve">Качество используемого материала подтверждается соответствующими сертификатами, техническими паспортами и другие документами, удостоверяющими их качество. 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1" w:eastAsiaTheme="minorHAnsi" w:hAnsi="CIDFont+F1" w:cs="CIDFont+F1"/>
          <w:sz w:val="24"/>
          <w:szCs w:val="24"/>
          <w:lang w:eastAsia="en-US"/>
        </w:rPr>
      </w:pPr>
    </w:p>
    <w:p w:rsidR="00F82DDF" w:rsidRP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1" w:eastAsiaTheme="minorHAnsi" w:hAnsi="CIDFont+F1" w:cs="CIDFont+F1"/>
          <w:b/>
          <w:sz w:val="24"/>
          <w:szCs w:val="24"/>
          <w:lang w:eastAsia="en-US"/>
        </w:rPr>
      </w:pPr>
      <w:r w:rsidRPr="00F82DDF">
        <w:rPr>
          <w:rFonts w:ascii="CIDFont+F1" w:eastAsiaTheme="minorHAnsi" w:hAnsi="CIDFont+F1" w:cs="CIDFont+F1"/>
          <w:b/>
          <w:sz w:val="24"/>
          <w:szCs w:val="24"/>
          <w:lang w:eastAsia="en-US"/>
        </w:rPr>
        <w:t>Оценка количественных критериев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2" w:eastAsiaTheme="minorHAnsi" w:hAnsi="CIDFont+F2" w:cs="CIDFont+F2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2" w:eastAsiaTheme="minorHAnsi" w:hAnsi="CIDFont+F2" w:cs="CIDFont+F2"/>
          <w:sz w:val="24"/>
          <w:szCs w:val="24"/>
          <w:lang w:eastAsia="en-US"/>
        </w:rPr>
        <w:t>образом: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3" w:eastAsia="CIDFont+F3" w:hAnsi="CIDFont+F1" w:cs="CIDFont+F3" w:hint="eastAsia"/>
          <w:sz w:val="24"/>
          <w:szCs w:val="24"/>
          <w:lang w:eastAsia="en-US"/>
        </w:rPr>
        <w:t></w:t>
      </w:r>
      <w:r>
        <w:rPr>
          <w:rFonts w:ascii="CIDFont+F3" w:eastAsia="CIDFont+F3" w:hAnsi="CIDFont+F1" w:cs="CIDFont+F3"/>
          <w:sz w:val="24"/>
          <w:szCs w:val="24"/>
          <w:lang w:eastAsia="en-US"/>
        </w:rPr>
        <w:t xml:space="preserve"> </w:t>
      </w:r>
      <w:r>
        <w:rPr>
          <w:rFonts w:ascii="CIDFont+F2" w:eastAsiaTheme="minorHAnsi" w:hAnsi="CIDFont+F2" w:cs="CIDFont+F2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2" w:eastAsiaTheme="minorHAnsi" w:hAnsi="CIDFont+F2" w:cs="CIDFont+F2"/>
          <w:sz w:val="24"/>
          <w:szCs w:val="24"/>
          <w:lang w:eastAsia="en-US"/>
        </w:rPr>
        <w:t xml:space="preserve">показателя (например, </w:t>
      </w:r>
      <w:r>
        <w:rPr>
          <w:rFonts w:ascii="CIDFont+F1" w:eastAsiaTheme="minorHAnsi" w:hAnsi="CIDFont+F1" w:cs="CIDFont+F1"/>
          <w:sz w:val="24"/>
          <w:szCs w:val="24"/>
          <w:lang w:eastAsia="en-US"/>
        </w:rPr>
        <w:t>Цена</w:t>
      </w:r>
      <w:r>
        <w:rPr>
          <w:rFonts w:ascii="CIDFont+F2" w:eastAsiaTheme="minorHAnsi" w:hAnsi="CIDFont+F2" w:cs="CIDFont+F2"/>
          <w:sz w:val="24"/>
          <w:szCs w:val="24"/>
          <w:lang w:eastAsia="en-US"/>
        </w:rPr>
        <w:t>), то расчет осуществляется по формуле: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18"/>
          <w:szCs w:val="18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 xml:space="preserve">Оценка = </w:t>
      </w:r>
      <w:proofErr w:type="gramStart"/>
      <w:r w:rsidRPr="00F82DDF">
        <w:rPr>
          <w:rFonts w:ascii="CIDFont+F2" w:eastAsiaTheme="minorHAnsi" w:hAnsi="CIDFont+F2" w:cs="CIDFont+F2"/>
          <w:sz w:val="44"/>
          <w:szCs w:val="44"/>
          <w:u w:val="single"/>
          <w:lang w:eastAsia="en-US"/>
        </w:rPr>
        <w:t xml:space="preserve">( </w:t>
      </w:r>
      <w:proofErr w:type="gramEnd"/>
      <w:r w:rsidRPr="00F82DDF">
        <w:rPr>
          <w:rFonts w:ascii="CIDFont+F2" w:eastAsiaTheme="minorHAnsi" w:hAnsi="CIDFont+F2" w:cs="CIDFont+F2"/>
          <w:sz w:val="18"/>
          <w:szCs w:val="18"/>
          <w:u w:val="single"/>
          <w:lang w:eastAsia="en-US"/>
        </w:rPr>
        <w:t xml:space="preserve">Минимальное значение </w:t>
      </w:r>
      <w:r w:rsidRPr="00F82DDF">
        <w:rPr>
          <w:rFonts w:ascii="CIDFont+F2" w:eastAsiaTheme="minorHAnsi" w:hAnsi="CIDFont+F2" w:cs="CIDFont+F2"/>
          <w:sz w:val="44"/>
          <w:szCs w:val="44"/>
          <w:u w:val="single"/>
          <w:lang w:eastAsia="en-US"/>
        </w:rPr>
        <w:t xml:space="preserve">) * </w:t>
      </w:r>
      <w:r w:rsidRPr="00F82DDF">
        <w:rPr>
          <w:rFonts w:ascii="CIDFont+F2" w:eastAsiaTheme="minorHAnsi" w:hAnsi="CIDFont+F2" w:cs="CIDFont+F2"/>
          <w:sz w:val="18"/>
          <w:szCs w:val="18"/>
          <w:u w:val="single"/>
          <w:lang w:eastAsia="en-US"/>
        </w:rPr>
        <w:t>максимальный бал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CIDFont+F2" w:eastAsiaTheme="minorHAnsi" w:hAnsi="CIDFont+F2" w:cs="CIDFont+F2"/>
          <w:sz w:val="18"/>
          <w:szCs w:val="18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>Значение анализируемого критерия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CIDFont+F2" w:eastAsiaTheme="minorHAnsi" w:hAnsi="CIDFont+F2" w:cs="CIDFont+F2"/>
          <w:sz w:val="18"/>
          <w:szCs w:val="18"/>
          <w:lang w:eastAsia="en-US"/>
        </w:rPr>
      </w:pP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3" w:eastAsia="CIDFont+F3" w:hAnsi="CIDFont+F1" w:cs="CIDFont+F3" w:hint="eastAsia"/>
          <w:sz w:val="24"/>
          <w:szCs w:val="24"/>
          <w:lang w:eastAsia="en-US"/>
        </w:rPr>
        <w:t></w:t>
      </w:r>
      <w:r>
        <w:rPr>
          <w:rFonts w:ascii="CIDFont+F3" w:eastAsia="CIDFont+F3" w:hAnsi="CIDFont+F1" w:cs="CIDFont+F3"/>
          <w:sz w:val="24"/>
          <w:szCs w:val="24"/>
          <w:lang w:eastAsia="en-US"/>
        </w:rPr>
        <w:t xml:space="preserve"> </w:t>
      </w:r>
      <w:r>
        <w:rPr>
          <w:rFonts w:ascii="CIDFont+F2" w:eastAsiaTheme="minorHAnsi" w:hAnsi="CIDFont+F2" w:cs="CIDFont+F2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2" w:eastAsiaTheme="minorHAnsi" w:hAnsi="CIDFont+F2" w:cs="CIDFont+F2"/>
          <w:sz w:val="24"/>
          <w:szCs w:val="24"/>
          <w:lang w:eastAsia="en-US"/>
        </w:rPr>
        <w:t xml:space="preserve">показателя (например, </w:t>
      </w:r>
      <w:r>
        <w:rPr>
          <w:rFonts w:ascii="CIDFont+F1" w:eastAsiaTheme="minorHAnsi" w:hAnsi="CIDFont+F1" w:cs="CIDFont+F1"/>
          <w:sz w:val="24"/>
          <w:szCs w:val="24"/>
          <w:lang w:eastAsia="en-US"/>
        </w:rPr>
        <w:t>Опыт работы</w:t>
      </w:r>
      <w:r>
        <w:rPr>
          <w:rFonts w:ascii="CIDFont+F2" w:eastAsiaTheme="minorHAnsi" w:hAnsi="CIDFont+F2" w:cs="CIDFont+F2"/>
          <w:sz w:val="24"/>
          <w:szCs w:val="24"/>
          <w:lang w:eastAsia="en-US"/>
        </w:rPr>
        <w:t xml:space="preserve">), то расчет осуществляется </w:t>
      </w:r>
      <w:proofErr w:type="gramStart"/>
      <w:r>
        <w:rPr>
          <w:rFonts w:ascii="CIDFont+F2" w:eastAsiaTheme="minorHAnsi" w:hAnsi="CIDFont+F2" w:cs="CIDFont+F2"/>
          <w:sz w:val="24"/>
          <w:szCs w:val="24"/>
          <w:lang w:eastAsia="en-US"/>
        </w:rPr>
        <w:t>по</w:t>
      </w:r>
      <w:proofErr w:type="gramEnd"/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24"/>
          <w:szCs w:val="24"/>
          <w:lang w:eastAsia="en-US"/>
        </w:rPr>
      </w:pPr>
      <w:r>
        <w:rPr>
          <w:rFonts w:ascii="CIDFont+F2" w:eastAsiaTheme="minorHAnsi" w:hAnsi="CIDFont+F2" w:cs="CIDFont+F2"/>
          <w:sz w:val="24"/>
          <w:szCs w:val="24"/>
          <w:lang w:eastAsia="en-US"/>
        </w:rPr>
        <w:t>формуле: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2" w:eastAsiaTheme="minorHAnsi" w:hAnsi="CIDFont+F2" w:cs="CIDFont+F2"/>
          <w:sz w:val="18"/>
          <w:szCs w:val="18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 xml:space="preserve">Оценка = </w:t>
      </w:r>
      <w:proofErr w:type="gramStart"/>
      <w:r w:rsidRPr="00F82DDF">
        <w:rPr>
          <w:rFonts w:ascii="CIDFont+F2" w:eastAsiaTheme="minorHAnsi" w:hAnsi="CIDFont+F2" w:cs="CIDFont+F2"/>
          <w:sz w:val="44"/>
          <w:szCs w:val="44"/>
          <w:u w:val="single"/>
          <w:lang w:eastAsia="en-US"/>
        </w:rPr>
        <w:t xml:space="preserve">( </w:t>
      </w:r>
      <w:proofErr w:type="gramEnd"/>
      <w:r w:rsidRPr="00F82DDF">
        <w:rPr>
          <w:rFonts w:ascii="CIDFont+F2" w:eastAsiaTheme="minorHAnsi" w:hAnsi="CIDFont+F2" w:cs="CIDFont+F2"/>
          <w:sz w:val="18"/>
          <w:szCs w:val="18"/>
          <w:u w:val="single"/>
          <w:lang w:eastAsia="en-US"/>
        </w:rPr>
        <w:t xml:space="preserve">Значение анализируемого критерия </w:t>
      </w:r>
      <w:r w:rsidRPr="00F82DDF">
        <w:rPr>
          <w:rFonts w:ascii="CIDFont+F2" w:eastAsiaTheme="minorHAnsi" w:hAnsi="CIDFont+F2" w:cs="CIDFont+F2"/>
          <w:sz w:val="44"/>
          <w:szCs w:val="44"/>
          <w:u w:val="single"/>
          <w:lang w:eastAsia="en-US"/>
        </w:rPr>
        <w:t xml:space="preserve">) * </w:t>
      </w:r>
      <w:r w:rsidRPr="00F82DDF">
        <w:rPr>
          <w:rFonts w:ascii="CIDFont+F2" w:eastAsiaTheme="minorHAnsi" w:hAnsi="CIDFont+F2" w:cs="CIDFont+F2"/>
          <w:sz w:val="18"/>
          <w:szCs w:val="18"/>
          <w:u w:val="single"/>
          <w:lang w:eastAsia="en-US"/>
        </w:rPr>
        <w:t>максимальный бал</w:t>
      </w:r>
    </w:p>
    <w:p w:rsidR="00970E6C" w:rsidRDefault="00F82DDF" w:rsidP="00F82DDF">
      <w:pPr>
        <w:tabs>
          <w:tab w:val="num" w:pos="0"/>
        </w:tabs>
        <w:spacing w:line="240" w:lineRule="auto"/>
        <w:ind w:firstLine="0"/>
        <w:rPr>
          <w:rFonts w:ascii="CIDFont+F2" w:eastAsiaTheme="minorHAnsi" w:hAnsi="CIDFont+F2" w:cs="CIDFont+F2"/>
          <w:sz w:val="18"/>
          <w:szCs w:val="18"/>
          <w:lang w:eastAsia="en-US"/>
        </w:rPr>
      </w:pPr>
      <w:r>
        <w:rPr>
          <w:rFonts w:ascii="CIDFont+F2" w:eastAsiaTheme="minorHAnsi" w:hAnsi="CIDFont+F2" w:cs="CIDFont+F2"/>
          <w:sz w:val="18"/>
          <w:szCs w:val="18"/>
          <w:lang w:eastAsia="en-US"/>
        </w:rPr>
        <w:tab/>
      </w:r>
      <w:r>
        <w:rPr>
          <w:rFonts w:ascii="CIDFont+F2" w:eastAsiaTheme="minorHAnsi" w:hAnsi="CIDFont+F2" w:cs="CIDFont+F2"/>
          <w:sz w:val="18"/>
          <w:szCs w:val="18"/>
          <w:lang w:eastAsia="en-US"/>
        </w:rPr>
        <w:tab/>
      </w:r>
      <w:r>
        <w:rPr>
          <w:rFonts w:ascii="CIDFont+F2" w:eastAsiaTheme="minorHAnsi" w:hAnsi="CIDFont+F2" w:cs="CIDFont+F2"/>
          <w:sz w:val="18"/>
          <w:szCs w:val="18"/>
          <w:lang w:eastAsia="en-US"/>
        </w:rPr>
        <w:tab/>
      </w:r>
      <w:r>
        <w:rPr>
          <w:rFonts w:ascii="CIDFont+F2" w:eastAsiaTheme="minorHAnsi" w:hAnsi="CIDFont+F2" w:cs="CIDFont+F2"/>
          <w:sz w:val="18"/>
          <w:szCs w:val="18"/>
          <w:lang w:eastAsia="en-US"/>
        </w:rPr>
        <w:tab/>
        <w:t>Максимальное значение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6.4.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lastRenderedPageBreak/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left" w:pos="180"/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 w:rsidRPr="006A66F6">
        <w:rPr>
          <w:rFonts w:ascii="Times New Roman" w:hAnsi="Times New Roman"/>
          <w:sz w:val="24"/>
          <w:szCs w:val="24"/>
        </w:rPr>
        <w:t>Протокол разногласий по проекту Договора (Форма №3)</w:t>
      </w:r>
      <w:bookmarkEnd w:id="128"/>
      <w:bookmarkEnd w:id="129"/>
      <w:bookmarkEnd w:id="130"/>
      <w:bookmarkEnd w:id="131"/>
      <w:bookmarkEnd w:id="13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1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6"/>
      <w:bookmarkEnd w:id="137"/>
      <w:bookmarkEnd w:id="138"/>
      <w:bookmarkEnd w:id="139"/>
      <w:bookmarkEnd w:id="140"/>
      <w:bookmarkEnd w:id="14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2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0E78A3" w:rsidP="000A1CC6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lastRenderedPageBreak/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971"/>
        <w:gridCol w:w="2023"/>
        <w:gridCol w:w="1078"/>
        <w:gridCol w:w="1399"/>
        <w:gridCol w:w="1399"/>
        <w:gridCol w:w="984"/>
        <w:gridCol w:w="1123"/>
      </w:tblGrid>
      <w:tr w:rsidR="00677ED9" w:rsidRPr="00677ED9" w:rsidTr="00893034">
        <w:trPr>
          <w:gridAfter w:val="2"/>
          <w:wAfter w:w="2107" w:type="dxa"/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Данные</w:t>
            </w:r>
          </w:p>
        </w:tc>
      </w:tr>
      <w:tr w:rsidR="00677ED9" w:rsidRPr="00677ED9" w:rsidTr="00893034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Толщина покрытия, </w:t>
            </w:r>
            <w:proofErr w:type="gramStart"/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Время полимеризации материала до возможности хождения, </w:t>
            </w:r>
            <w:proofErr w:type="gramStart"/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Время полимеризации материала до полной нагрузки, </w:t>
            </w:r>
            <w:proofErr w:type="spellStart"/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Количество реализованных проектов на промышленных и складских объектах в М.О. за последние 2 года.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Финансовая оценка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Общая стоимость 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60%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893034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Срок гарантии, </w:t>
            </w:r>
            <w:proofErr w:type="spellStart"/>
            <w:proofErr w:type="gramStart"/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93034" w:rsidRPr="00677ED9" w:rsidTr="0089303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E61DF3">
      <w:pPr>
        <w:tabs>
          <w:tab w:val="left" w:pos="540"/>
          <w:tab w:val="left" w:pos="720"/>
          <w:tab w:val="left" w:pos="1134"/>
        </w:tabs>
        <w:ind w:firstLine="0"/>
        <w:rPr>
          <w:b/>
        </w:rPr>
      </w:pPr>
    </w:p>
    <w:p w:rsidR="00893034" w:rsidRPr="00677ED9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lastRenderedPageBreak/>
        <w:t>9.5.1.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07" w:rsidRDefault="00240D07" w:rsidP="00B768EC">
      <w:pPr>
        <w:spacing w:line="240" w:lineRule="auto"/>
      </w:pPr>
      <w:r>
        <w:separator/>
      </w:r>
    </w:p>
  </w:endnote>
  <w:endnote w:type="continuationSeparator" w:id="0">
    <w:p w:rsidR="00240D07" w:rsidRDefault="00240D0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F7C6E" w:rsidRPr="00FD1A52" w:rsidRDefault="004F7C6E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353686">
          <w:rPr>
            <w:rFonts w:ascii="Arial" w:hAnsi="Arial" w:cs="Arial"/>
            <w:noProof/>
            <w:sz w:val="20"/>
            <w:szCs w:val="20"/>
          </w:rPr>
          <w:t>3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F7C6E" w:rsidRDefault="004F7C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07" w:rsidRDefault="00240D07" w:rsidP="00B768EC">
      <w:pPr>
        <w:spacing w:line="240" w:lineRule="auto"/>
      </w:pPr>
      <w:r>
        <w:separator/>
      </w:r>
    </w:p>
  </w:footnote>
  <w:footnote w:type="continuationSeparator" w:id="0">
    <w:p w:rsidR="00240D07" w:rsidRDefault="00240D07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5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2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9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1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9"/>
  </w:num>
  <w:num w:numId="9">
    <w:abstractNumId w:val="24"/>
  </w:num>
  <w:num w:numId="10">
    <w:abstractNumId w:val="12"/>
  </w:num>
  <w:num w:numId="11">
    <w:abstractNumId w:val="19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4"/>
  </w:num>
  <w:num w:numId="20">
    <w:abstractNumId w:val="1"/>
  </w:num>
  <w:num w:numId="21">
    <w:abstractNumId w:val="20"/>
  </w:num>
  <w:num w:numId="22">
    <w:abstractNumId w:val="8"/>
  </w:num>
  <w:num w:numId="23">
    <w:abstractNumId w:val="5"/>
  </w:num>
  <w:num w:numId="24">
    <w:abstractNumId w:val="3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544E9"/>
    <w:rsid w:val="000A1CC6"/>
    <w:rsid w:val="000E78A3"/>
    <w:rsid w:val="001179E9"/>
    <w:rsid w:val="00197923"/>
    <w:rsid w:val="001A2292"/>
    <w:rsid w:val="001E3AF0"/>
    <w:rsid w:val="00232D78"/>
    <w:rsid w:val="00240D07"/>
    <w:rsid w:val="00282B22"/>
    <w:rsid w:val="002A2F3B"/>
    <w:rsid w:val="002D5EF2"/>
    <w:rsid w:val="002F2CDB"/>
    <w:rsid w:val="0033712A"/>
    <w:rsid w:val="00341606"/>
    <w:rsid w:val="00353686"/>
    <w:rsid w:val="003714D5"/>
    <w:rsid w:val="003742FF"/>
    <w:rsid w:val="003B4A51"/>
    <w:rsid w:val="003D1F99"/>
    <w:rsid w:val="00423B74"/>
    <w:rsid w:val="004422AF"/>
    <w:rsid w:val="00456D25"/>
    <w:rsid w:val="0046346A"/>
    <w:rsid w:val="0048372F"/>
    <w:rsid w:val="004B6DBD"/>
    <w:rsid w:val="004C1FFC"/>
    <w:rsid w:val="004C4C0B"/>
    <w:rsid w:val="004D014A"/>
    <w:rsid w:val="004E685E"/>
    <w:rsid w:val="004F7C6E"/>
    <w:rsid w:val="00501F47"/>
    <w:rsid w:val="005461E0"/>
    <w:rsid w:val="00570501"/>
    <w:rsid w:val="00570ED2"/>
    <w:rsid w:val="005863BF"/>
    <w:rsid w:val="005C7205"/>
    <w:rsid w:val="005E7A09"/>
    <w:rsid w:val="005F419D"/>
    <w:rsid w:val="00604FB0"/>
    <w:rsid w:val="00641CF9"/>
    <w:rsid w:val="0067527A"/>
    <w:rsid w:val="00677ED9"/>
    <w:rsid w:val="006A66F6"/>
    <w:rsid w:val="006C79E4"/>
    <w:rsid w:val="006E0815"/>
    <w:rsid w:val="00743975"/>
    <w:rsid w:val="0074524E"/>
    <w:rsid w:val="00747813"/>
    <w:rsid w:val="00765586"/>
    <w:rsid w:val="007704A3"/>
    <w:rsid w:val="00793EA7"/>
    <w:rsid w:val="007C5FD9"/>
    <w:rsid w:val="00817036"/>
    <w:rsid w:val="008276BA"/>
    <w:rsid w:val="00885C72"/>
    <w:rsid w:val="00887614"/>
    <w:rsid w:val="00893034"/>
    <w:rsid w:val="008A4CC8"/>
    <w:rsid w:val="008B3914"/>
    <w:rsid w:val="008B53CD"/>
    <w:rsid w:val="008E0ED0"/>
    <w:rsid w:val="00923B16"/>
    <w:rsid w:val="00970E6C"/>
    <w:rsid w:val="009C3B76"/>
    <w:rsid w:val="009C73B4"/>
    <w:rsid w:val="00A20139"/>
    <w:rsid w:val="00A36BA6"/>
    <w:rsid w:val="00A46636"/>
    <w:rsid w:val="00A477F5"/>
    <w:rsid w:val="00AA6C91"/>
    <w:rsid w:val="00AD7ED8"/>
    <w:rsid w:val="00AF3148"/>
    <w:rsid w:val="00AF7F6A"/>
    <w:rsid w:val="00B20B30"/>
    <w:rsid w:val="00B41581"/>
    <w:rsid w:val="00B768EC"/>
    <w:rsid w:val="00BA7C29"/>
    <w:rsid w:val="00BB5B78"/>
    <w:rsid w:val="00BD2B68"/>
    <w:rsid w:val="00BE694D"/>
    <w:rsid w:val="00C51379"/>
    <w:rsid w:val="00C7735E"/>
    <w:rsid w:val="00DA3E36"/>
    <w:rsid w:val="00DE47AC"/>
    <w:rsid w:val="00DE61BB"/>
    <w:rsid w:val="00E42050"/>
    <w:rsid w:val="00E52D78"/>
    <w:rsid w:val="00E61DF3"/>
    <w:rsid w:val="00F82DDF"/>
    <w:rsid w:val="00FA0EA0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lyanova@konce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alash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52F7-1046-4626-AAD9-DA58A03A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Емельянова Светлана Петровна</cp:lastModifiedBy>
  <cp:revision>8</cp:revision>
  <cp:lastPrinted>2010-12-21T12:55:00Z</cp:lastPrinted>
  <dcterms:created xsi:type="dcterms:W3CDTF">2018-07-09T08:31:00Z</dcterms:created>
  <dcterms:modified xsi:type="dcterms:W3CDTF">2018-07-10T12:34:00Z</dcterms:modified>
</cp:coreProperties>
</file>