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331291" w:rsidRPr="00331291" w:rsidRDefault="00331291" w:rsidP="00331291">
      <w:pPr>
        <w:spacing w:line="240" w:lineRule="atLeast"/>
        <w:ind w:left="284" w:firstLine="0"/>
        <w:contextualSpacing/>
        <w:jc w:val="center"/>
        <w:rPr>
          <w:rFonts w:eastAsia="Calibri"/>
          <w:b/>
          <w:sz w:val="24"/>
          <w:szCs w:val="24"/>
          <w:lang w:eastAsia="en-US"/>
        </w:rPr>
      </w:pPr>
      <w:r w:rsidRPr="00331291">
        <w:rPr>
          <w:rFonts w:eastAsia="Calibri"/>
          <w:b/>
          <w:sz w:val="24"/>
          <w:szCs w:val="24"/>
          <w:lang w:eastAsia="en-US"/>
        </w:rPr>
        <w:t xml:space="preserve">на поставку и монтаж </w:t>
      </w:r>
      <w:r w:rsidR="00D30A74">
        <w:rPr>
          <w:rFonts w:eastAsia="Calibri"/>
          <w:b/>
          <w:sz w:val="24"/>
          <w:szCs w:val="24"/>
          <w:lang w:eastAsia="en-US"/>
        </w:rPr>
        <w:t>холодильного</w:t>
      </w:r>
      <w:r w:rsidRPr="00331291">
        <w:rPr>
          <w:rFonts w:eastAsia="Calibri"/>
          <w:b/>
          <w:sz w:val="24"/>
          <w:szCs w:val="24"/>
          <w:lang w:eastAsia="en-US"/>
        </w:rPr>
        <w:t xml:space="preserve"> оборудования 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9E2E16">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9E2E16">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9E2E16">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9E2E16">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9E2E16">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9E2E16">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9E2E16">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9E2E16">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331291" w:rsidRDefault="00331291" w:rsidP="00C21548">
      <w:pPr>
        <w:rPr>
          <w:sz w:val="24"/>
          <w:szCs w:val="24"/>
        </w:rPr>
      </w:pPr>
      <w:r w:rsidRPr="00331291">
        <w:rPr>
          <w:sz w:val="24"/>
          <w:szCs w:val="24"/>
        </w:rPr>
        <w:t xml:space="preserve">на поставку и монтаж </w:t>
      </w:r>
      <w:r w:rsidR="00D30A74">
        <w:rPr>
          <w:sz w:val="24"/>
          <w:szCs w:val="24"/>
        </w:rPr>
        <w:t>холодильного</w:t>
      </w:r>
      <w:r w:rsidRPr="00331291">
        <w:rPr>
          <w:sz w:val="24"/>
          <w:szCs w:val="24"/>
        </w:rPr>
        <w:t xml:space="preserve"> оборудования 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E61DF3" w:rsidP="00C21548">
      <w:pPr>
        <w:rPr>
          <w:sz w:val="24"/>
          <w:szCs w:val="24"/>
        </w:rPr>
      </w:pPr>
      <w:r w:rsidRPr="00351630">
        <w:rPr>
          <w:b/>
          <w:sz w:val="24"/>
          <w:szCs w:val="24"/>
        </w:rPr>
        <w:t>1.2 Организатор</w:t>
      </w:r>
      <w:r w:rsidR="00885C72" w:rsidRPr="00351630">
        <w:rPr>
          <w:sz w:val="24"/>
          <w:szCs w:val="24"/>
        </w:rPr>
        <w:t xml:space="preserve"> -  </w:t>
      </w:r>
      <w:r w:rsidR="00331291" w:rsidRPr="00331291">
        <w:rPr>
          <w:sz w:val="24"/>
          <w:szCs w:val="24"/>
        </w:rPr>
        <w:t xml:space="preserve">Контактное лицо – Кузахметов Эльдар Фаридович,                       </w:t>
      </w:r>
      <w:r w:rsidR="00331291">
        <w:rPr>
          <w:sz w:val="24"/>
          <w:szCs w:val="24"/>
        </w:rPr>
        <w:t xml:space="preserve">                тел.</w:t>
      </w:r>
      <w:r w:rsidR="00331291" w:rsidRPr="00331291">
        <w:rPr>
          <w:sz w:val="24"/>
          <w:szCs w:val="24"/>
        </w:rPr>
        <w:t xml:space="preserve"> 8 (985) 298-12-51, e-mail:ekuzahmetov@koncel.com;</w:t>
      </w:r>
      <w:r w:rsidR="00BF0AE9" w:rsidRPr="00BF0AE9">
        <w:rPr>
          <w:sz w:val="24"/>
          <w:szCs w:val="24"/>
        </w:rPr>
        <w:t xml:space="preserve"> </w:t>
      </w:r>
      <w:r w:rsidR="00BF0AE9">
        <w:rPr>
          <w:sz w:val="24"/>
          <w:szCs w:val="24"/>
        </w:rPr>
        <w:t xml:space="preserve">Горемыкин Александр Викторович, тел. 8(905) 527-43-52; </w:t>
      </w:r>
      <w:r w:rsidR="00331291" w:rsidRPr="00331291">
        <w:rPr>
          <w:sz w:val="24"/>
          <w:szCs w:val="24"/>
        </w:rPr>
        <w:t xml:space="preserve">  Бардыш Анна Анатольевна, </w:t>
      </w:r>
      <w:r w:rsidR="00657F80">
        <w:rPr>
          <w:sz w:val="24"/>
          <w:szCs w:val="24"/>
        </w:rPr>
        <w:t xml:space="preserve"> </w:t>
      </w:r>
      <w:r w:rsidR="00331291" w:rsidRPr="00331291">
        <w:rPr>
          <w:sz w:val="24"/>
          <w:szCs w:val="24"/>
        </w:rPr>
        <w:t>тел.</w:t>
      </w:r>
      <w:r w:rsidR="00331291">
        <w:rPr>
          <w:sz w:val="24"/>
          <w:szCs w:val="24"/>
        </w:rPr>
        <w:t xml:space="preserve"> </w:t>
      </w:r>
      <w:r w:rsidR="00331291" w:rsidRPr="00331291">
        <w:rPr>
          <w:sz w:val="24"/>
          <w:szCs w:val="24"/>
        </w:rPr>
        <w:t>8 (919) 998-98-29, e-mail:abardysh@koncel.com.</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9E2E16" w:rsidP="00E61DF3">
      <w:pPr>
        <w:tabs>
          <w:tab w:val="num" w:pos="0"/>
        </w:tabs>
        <w:spacing w:line="240" w:lineRule="auto"/>
        <w:ind w:firstLine="0"/>
        <w:rPr>
          <w:sz w:val="24"/>
          <w:szCs w:val="24"/>
        </w:rPr>
      </w:pPr>
      <w:r>
        <w:rPr>
          <w:b/>
          <w:sz w:val="24"/>
          <w:szCs w:val="24"/>
        </w:rPr>
        <w:t>07</w:t>
      </w:r>
      <w:bookmarkStart w:id="1" w:name="_GoBack"/>
      <w:bookmarkEnd w:id="1"/>
      <w:r w:rsidR="0039152A">
        <w:rPr>
          <w:b/>
          <w:sz w:val="24"/>
          <w:szCs w:val="24"/>
        </w:rPr>
        <w:t>.09</w:t>
      </w:r>
      <w:r w:rsidR="00331291" w:rsidRPr="00331291">
        <w:rPr>
          <w:b/>
          <w:sz w:val="24"/>
          <w:szCs w:val="24"/>
        </w:rPr>
        <w:t>.2017 г., не позднее 16:00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Емельяновой Светланы Петровны, тел. 8 (495) 229-74-44 (доб. </w:t>
      </w:r>
      <w:r w:rsidR="00331291">
        <w:rPr>
          <w:sz w:val="24"/>
          <w:szCs w:val="24"/>
        </w:rPr>
        <w:t xml:space="preserve">55-00), </w:t>
      </w:r>
      <w:r w:rsidR="00331291" w:rsidRPr="00331291">
        <w:rPr>
          <w:sz w:val="24"/>
          <w:szCs w:val="24"/>
        </w:rPr>
        <w:t>8-915-320-88-35.</w:t>
      </w:r>
    </w:p>
    <w:p w:rsidR="00331291" w:rsidRDefault="00331291"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DB0854" w:rsidRDefault="00331291" w:rsidP="00DD6E9F">
      <w:pPr>
        <w:rPr>
          <w:sz w:val="24"/>
          <w:szCs w:val="24"/>
        </w:rPr>
      </w:pPr>
      <w:r>
        <w:rPr>
          <w:sz w:val="24"/>
          <w:szCs w:val="24"/>
        </w:rPr>
        <w:t>Поставка</w:t>
      </w:r>
      <w:r w:rsidRPr="00331291">
        <w:rPr>
          <w:sz w:val="24"/>
          <w:szCs w:val="24"/>
        </w:rPr>
        <w:t xml:space="preserve"> и монтаж </w:t>
      </w:r>
      <w:r w:rsidR="00D30A74">
        <w:rPr>
          <w:sz w:val="24"/>
          <w:szCs w:val="24"/>
        </w:rPr>
        <w:t>холодильного</w:t>
      </w:r>
      <w:r w:rsidRPr="00331291">
        <w:rPr>
          <w:sz w:val="24"/>
          <w:szCs w:val="24"/>
        </w:rPr>
        <w:t xml:space="preserve"> оборудования 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331291" w:rsidRDefault="00331291" w:rsidP="00DD6E9F">
      <w:pPr>
        <w:rPr>
          <w:sz w:val="24"/>
          <w:szCs w:val="24"/>
        </w:rPr>
      </w:pPr>
    </w:p>
    <w:p w:rsidR="00331291" w:rsidRDefault="00331291" w:rsidP="00DD6E9F">
      <w:pPr>
        <w:rPr>
          <w:sz w:val="24"/>
          <w:szCs w:val="24"/>
        </w:rPr>
      </w:pPr>
    </w:p>
    <w:p w:rsidR="00331291" w:rsidRDefault="00331291" w:rsidP="00DD6E9F">
      <w:pPr>
        <w:rPr>
          <w:sz w:val="24"/>
          <w:szCs w:val="24"/>
        </w:rPr>
      </w:pPr>
    </w:p>
    <w:p w:rsidR="00E61DF3" w:rsidRPr="00351630" w:rsidRDefault="00E61DF3" w:rsidP="00DD6E9F">
      <w:pPr>
        <w:rPr>
          <w:b/>
          <w:bCs/>
          <w:iCs/>
          <w:sz w:val="24"/>
          <w:szCs w:val="24"/>
        </w:rPr>
      </w:pPr>
      <w:r w:rsidRPr="00351630">
        <w:rPr>
          <w:b/>
          <w:sz w:val="24"/>
          <w:szCs w:val="24"/>
        </w:rPr>
        <w:lastRenderedPageBreak/>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331291" w:rsidRPr="00331291" w:rsidRDefault="00331291" w:rsidP="00331291">
      <w:pPr>
        <w:spacing w:after="200" w:line="276" w:lineRule="auto"/>
        <w:ind w:firstLine="0"/>
        <w:contextualSpacing/>
        <w:jc w:val="left"/>
        <w:rPr>
          <w:rFonts w:eastAsia="Calibri"/>
          <w:bCs/>
          <w:sz w:val="24"/>
          <w:szCs w:val="24"/>
          <w:u w:val="single"/>
          <w:lang w:eastAsia="en-US"/>
        </w:rPr>
      </w:pPr>
      <w:bookmarkStart w:id="28" w:name="_Toc189545073"/>
      <w:r w:rsidRPr="00331291">
        <w:rPr>
          <w:rFonts w:eastAsia="Calibri"/>
          <w:sz w:val="24"/>
          <w:szCs w:val="24"/>
          <w:u w:val="single"/>
          <w:lang w:eastAsia="en-US"/>
        </w:rPr>
        <w:t>Для организации столовой приобрести специализированное оборудование, согласно Приложению №1 к Закупочной документации:</w:t>
      </w:r>
    </w:p>
    <w:p w:rsidR="00331291" w:rsidRPr="00331291" w:rsidRDefault="00331291" w:rsidP="00331291">
      <w:pPr>
        <w:spacing w:after="200" w:line="276" w:lineRule="auto"/>
        <w:ind w:left="1068" w:firstLine="0"/>
        <w:contextualSpacing/>
        <w:jc w:val="left"/>
        <w:rPr>
          <w:rFonts w:eastAsia="Calibri"/>
          <w:bCs/>
          <w:sz w:val="24"/>
          <w:szCs w:val="24"/>
          <w:u w:val="single"/>
          <w:lang w:eastAsia="en-US"/>
        </w:rPr>
      </w:pPr>
    </w:p>
    <w:p w:rsidR="00331291" w:rsidRPr="00331291" w:rsidRDefault="00331291" w:rsidP="00331291">
      <w:pPr>
        <w:spacing w:after="200" w:line="276" w:lineRule="auto"/>
        <w:ind w:firstLine="0"/>
        <w:rPr>
          <w:rFonts w:eastAsia="Calibri"/>
          <w:bCs/>
          <w:sz w:val="24"/>
          <w:szCs w:val="24"/>
          <w:lang w:eastAsia="en-US"/>
        </w:rPr>
      </w:pPr>
      <w:proofErr w:type="gramStart"/>
      <w:r w:rsidRPr="00331291">
        <w:rPr>
          <w:rFonts w:eastAsia="Calibri"/>
          <w:bCs/>
          <w:sz w:val="24"/>
          <w:szCs w:val="24"/>
          <w:lang w:eastAsia="en-US"/>
        </w:rPr>
        <w:t>При</w:t>
      </w:r>
      <w:proofErr w:type="gramEnd"/>
      <w:r w:rsidRPr="00331291">
        <w:rPr>
          <w:rFonts w:eastAsia="Calibri"/>
          <w:bCs/>
          <w:sz w:val="24"/>
          <w:szCs w:val="24"/>
          <w:lang w:eastAsia="en-US"/>
        </w:rPr>
        <w:t xml:space="preserve"> </w:t>
      </w:r>
      <w:proofErr w:type="gramStart"/>
      <w:r w:rsidRPr="00331291">
        <w:rPr>
          <w:rFonts w:eastAsia="Calibri"/>
          <w:bCs/>
          <w:sz w:val="24"/>
          <w:szCs w:val="24"/>
          <w:lang w:eastAsia="en-US"/>
        </w:rPr>
        <w:t>отсутствия</w:t>
      </w:r>
      <w:proofErr w:type="gramEnd"/>
      <w:r w:rsidRPr="00331291">
        <w:rPr>
          <w:rFonts w:eastAsia="Calibri"/>
          <w:bCs/>
          <w:sz w:val="24"/>
          <w:szCs w:val="24"/>
          <w:lang w:eastAsia="en-US"/>
        </w:rPr>
        <w:t xml:space="preserve"> у Поставщика возможности поставить указанное в Приложении №1 наименование, Поставщик имеет право предоставить аналог, отвечающий всем техническим характеристикам заявленного образца.</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Срок  поставки: не позднее 27 сентября 2017 года.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Поставщик несет ответственность за качество поставляемого оборудования, предоставляет соответствующие сертификаты, технические паспорта и другие документы, удостоверяющие качество оборудования. </w:t>
      </w:r>
    </w:p>
    <w:p w:rsidR="00331291" w:rsidRPr="00331291" w:rsidRDefault="00331291" w:rsidP="00331291">
      <w:pPr>
        <w:numPr>
          <w:ilvl w:val="0"/>
          <w:numId w:val="30"/>
        </w:numPr>
        <w:spacing w:after="200" w:line="276" w:lineRule="auto"/>
        <w:ind w:left="1068"/>
        <w:contextualSpacing/>
        <w:jc w:val="left"/>
        <w:rPr>
          <w:rFonts w:eastAsia="Calibri"/>
          <w:bCs/>
          <w:sz w:val="24"/>
          <w:szCs w:val="24"/>
          <w:u w:val="single"/>
          <w:lang w:eastAsia="en-US"/>
        </w:rPr>
      </w:pPr>
      <w:r w:rsidRPr="00331291">
        <w:rPr>
          <w:rFonts w:eastAsia="Calibri"/>
          <w:bCs/>
          <w:sz w:val="24"/>
          <w:szCs w:val="24"/>
          <w:u w:val="single"/>
          <w:lang w:eastAsia="en-US"/>
        </w:rPr>
        <w:t>Комплекс работ по монтажу оборудования:</w:t>
      </w:r>
    </w:p>
    <w:p w:rsidR="00331291" w:rsidRPr="00331291" w:rsidRDefault="00331291" w:rsidP="00331291">
      <w:pPr>
        <w:spacing w:after="200" w:line="276" w:lineRule="auto"/>
        <w:ind w:firstLine="0"/>
        <w:contextualSpacing/>
        <w:rPr>
          <w:rFonts w:eastAsia="Calibri"/>
          <w:bCs/>
          <w:sz w:val="24"/>
          <w:szCs w:val="24"/>
          <w:lang w:eastAsia="en-US"/>
        </w:rPr>
      </w:pPr>
    </w:p>
    <w:p w:rsidR="00331291" w:rsidRPr="00331291" w:rsidRDefault="00331291" w:rsidP="00331291">
      <w:pPr>
        <w:widowControl w:val="0"/>
        <w:autoSpaceDE w:val="0"/>
        <w:autoSpaceDN w:val="0"/>
        <w:adjustRightInd w:val="0"/>
        <w:spacing w:after="200" w:line="276" w:lineRule="auto"/>
        <w:ind w:firstLine="0"/>
        <w:rPr>
          <w:rFonts w:eastAsia="Calibri"/>
          <w:sz w:val="24"/>
          <w:szCs w:val="24"/>
          <w:lang w:eastAsia="en-US"/>
        </w:rPr>
      </w:pPr>
      <w:r w:rsidRPr="00331291">
        <w:rPr>
          <w:rFonts w:eastAsia="Calibri"/>
          <w:sz w:val="24"/>
          <w:szCs w:val="24"/>
          <w:lang w:eastAsia="en-US"/>
        </w:rPr>
        <w:t>Монтаж оборудования выполнить силами поставщика.</w:t>
      </w:r>
    </w:p>
    <w:p w:rsidR="00331291" w:rsidRPr="00331291" w:rsidRDefault="00331291" w:rsidP="00331291">
      <w:pPr>
        <w:spacing w:line="264" w:lineRule="auto"/>
        <w:ind w:right="284" w:firstLine="0"/>
        <w:rPr>
          <w:sz w:val="24"/>
          <w:szCs w:val="24"/>
        </w:rPr>
      </w:pPr>
      <w:r w:rsidRPr="00331291">
        <w:rPr>
          <w:sz w:val="24"/>
          <w:szCs w:val="24"/>
        </w:rPr>
        <w:t>Поставщик несёт полную ответственность за качество работ и используемых материалов (если будут использоваться), за соблюдения правил охраны труда и пожарной безопасности при проведении работ.</w:t>
      </w:r>
    </w:p>
    <w:p w:rsidR="00331291" w:rsidRPr="00331291" w:rsidRDefault="00331291" w:rsidP="00331291">
      <w:pPr>
        <w:spacing w:line="264" w:lineRule="auto"/>
        <w:ind w:right="284" w:firstLine="0"/>
        <w:rPr>
          <w:b/>
          <w:sz w:val="24"/>
          <w:szCs w:val="24"/>
        </w:rPr>
      </w:pPr>
    </w:p>
    <w:p w:rsidR="00331291" w:rsidRDefault="00331291" w:rsidP="00331291">
      <w:pPr>
        <w:widowControl w:val="0"/>
        <w:autoSpaceDE w:val="0"/>
        <w:autoSpaceDN w:val="0"/>
        <w:adjustRightInd w:val="0"/>
        <w:spacing w:after="200" w:line="276" w:lineRule="auto"/>
        <w:ind w:firstLine="0"/>
        <w:rPr>
          <w:rFonts w:eastAsia="Calibri"/>
          <w:sz w:val="22"/>
          <w:szCs w:val="24"/>
          <w:lang w:eastAsia="en-US"/>
        </w:rPr>
      </w:pPr>
      <w:r w:rsidRPr="00331291">
        <w:rPr>
          <w:rFonts w:eastAsia="Calibri"/>
          <w:sz w:val="22"/>
          <w:szCs w:val="24"/>
          <w:lang w:eastAsia="en-US"/>
        </w:rPr>
        <w:t>Срок выполнения работ: не позднее 04 октября 2017 года.</w:t>
      </w:r>
    </w:p>
    <w:p w:rsidR="00677E80" w:rsidRPr="00331291" w:rsidRDefault="00677E80" w:rsidP="00331291">
      <w:pPr>
        <w:widowControl w:val="0"/>
        <w:autoSpaceDE w:val="0"/>
        <w:autoSpaceDN w:val="0"/>
        <w:adjustRightInd w:val="0"/>
        <w:spacing w:after="200" w:line="276" w:lineRule="auto"/>
        <w:ind w:firstLine="0"/>
        <w:rPr>
          <w:rFonts w:eastAsia="Calibri"/>
          <w:sz w:val="22"/>
          <w:szCs w:val="24"/>
          <w:lang w:eastAsia="en-US"/>
        </w:rPr>
      </w:pPr>
    </w:p>
    <w:p w:rsidR="00677E80" w:rsidRPr="00331291" w:rsidRDefault="00331291" w:rsidP="00677E80">
      <w:pPr>
        <w:spacing w:after="200" w:line="276" w:lineRule="auto"/>
        <w:ind w:firstLine="0"/>
        <w:rPr>
          <w:rFonts w:eastAsia="Calibri"/>
          <w:bCs/>
          <w:sz w:val="24"/>
          <w:szCs w:val="24"/>
          <w:lang w:eastAsia="en-US"/>
        </w:rPr>
      </w:pPr>
      <w:r w:rsidRPr="00331291">
        <w:rPr>
          <w:rFonts w:eastAsia="Calibri"/>
          <w:sz w:val="22"/>
          <w:szCs w:val="24"/>
          <w:lang w:eastAsia="en-US"/>
        </w:rPr>
        <w:t>Условия оплаты: стоимость работ по монтажу включены в сумму поставки оборудования.</w:t>
      </w:r>
      <w:r w:rsidR="00677E80" w:rsidRPr="00677E80">
        <w:rPr>
          <w:rFonts w:eastAsia="Calibri"/>
          <w:bCs/>
          <w:sz w:val="24"/>
          <w:szCs w:val="24"/>
          <w:lang w:eastAsia="en-US"/>
        </w:rPr>
        <w:t xml:space="preserve"> </w:t>
      </w:r>
      <w:r w:rsidR="00677E80">
        <w:rPr>
          <w:rFonts w:eastAsia="Calibri"/>
          <w:bCs/>
          <w:sz w:val="24"/>
          <w:szCs w:val="24"/>
          <w:lang w:eastAsia="en-US"/>
        </w:rPr>
        <w:t>Предоплата 50%.</w:t>
      </w:r>
      <w:r w:rsidR="00677E80" w:rsidRPr="00331291">
        <w:rPr>
          <w:rFonts w:eastAsia="Calibri"/>
          <w:sz w:val="22"/>
          <w:szCs w:val="24"/>
          <w:lang w:eastAsia="en-US"/>
        </w:rPr>
        <w:t>Окончательный расчет по итогам выполненных работ.</w:t>
      </w:r>
    </w:p>
    <w:p w:rsidR="00DF6850" w:rsidRPr="00351630" w:rsidRDefault="00DF6850"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lastRenderedPageBreak/>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lastRenderedPageBreak/>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1630">
        <w:rPr>
          <w:sz w:val="24"/>
          <w:szCs w:val="24"/>
        </w:rPr>
        <w:t>апостилированный</w:t>
      </w:r>
      <w:proofErr w:type="spellEnd"/>
      <w:r w:rsidRPr="00351630">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proofErr w:type="gramStart"/>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roofErr w:type="gramEnd"/>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D" w:rsidRDefault="00553EAD" w:rsidP="00B768EC">
      <w:pPr>
        <w:spacing w:line="240" w:lineRule="auto"/>
      </w:pPr>
      <w:r>
        <w:separator/>
      </w:r>
    </w:p>
  </w:endnote>
  <w:endnote w:type="continuationSeparator" w:id="0">
    <w:p w:rsidR="00553EAD" w:rsidRDefault="00553EA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9E2E16">
          <w:rPr>
            <w:rFonts w:ascii="Arial" w:hAnsi="Arial" w:cs="Arial"/>
            <w:noProof/>
            <w:sz w:val="20"/>
            <w:szCs w:val="20"/>
          </w:rPr>
          <w:t>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D" w:rsidRDefault="00553EAD" w:rsidP="00B768EC">
      <w:pPr>
        <w:spacing w:line="240" w:lineRule="auto"/>
      </w:pPr>
      <w:r>
        <w:separator/>
      </w:r>
    </w:p>
  </w:footnote>
  <w:footnote w:type="continuationSeparator" w:id="0">
    <w:p w:rsidR="00553EAD" w:rsidRDefault="00553EAD"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6">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5"/>
  </w:num>
  <w:num w:numId="4">
    <w:abstractNumId w:val="13"/>
  </w:num>
  <w:num w:numId="5">
    <w:abstractNumId w:val="16"/>
  </w:num>
  <w:num w:numId="6">
    <w:abstractNumId w:val="20"/>
  </w:num>
  <w:num w:numId="7">
    <w:abstractNumId w:val="21"/>
  </w:num>
  <w:num w:numId="8">
    <w:abstractNumId w:val="12"/>
  </w:num>
  <w:num w:numId="9">
    <w:abstractNumId w:val="28"/>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6"/>
  </w:num>
  <w:num w:numId="17">
    <w:abstractNumId w:val="25"/>
  </w:num>
  <w:num w:numId="18">
    <w:abstractNumId w:val="2"/>
  </w:num>
  <w:num w:numId="19">
    <w:abstractNumId w:val="6"/>
  </w:num>
  <w:num w:numId="20">
    <w:abstractNumId w:val="3"/>
  </w:num>
  <w:num w:numId="21">
    <w:abstractNumId w:val="24"/>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31291"/>
    <w:rsid w:val="00351630"/>
    <w:rsid w:val="0039152A"/>
    <w:rsid w:val="0039387C"/>
    <w:rsid w:val="003E1248"/>
    <w:rsid w:val="0041150A"/>
    <w:rsid w:val="004156C1"/>
    <w:rsid w:val="004341AC"/>
    <w:rsid w:val="00456D25"/>
    <w:rsid w:val="0046346A"/>
    <w:rsid w:val="00466EE7"/>
    <w:rsid w:val="0048372F"/>
    <w:rsid w:val="004E39B4"/>
    <w:rsid w:val="004E685E"/>
    <w:rsid w:val="00501F47"/>
    <w:rsid w:val="00552BA0"/>
    <w:rsid w:val="00553EAD"/>
    <w:rsid w:val="0057079D"/>
    <w:rsid w:val="00582F2E"/>
    <w:rsid w:val="00597FC8"/>
    <w:rsid w:val="005C2B81"/>
    <w:rsid w:val="00612315"/>
    <w:rsid w:val="00641CF9"/>
    <w:rsid w:val="006449B5"/>
    <w:rsid w:val="00657F80"/>
    <w:rsid w:val="0067527A"/>
    <w:rsid w:val="00677E80"/>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C73B4"/>
    <w:rsid w:val="009E2E16"/>
    <w:rsid w:val="00A36BA6"/>
    <w:rsid w:val="00A477F5"/>
    <w:rsid w:val="00A64E39"/>
    <w:rsid w:val="00B31AFC"/>
    <w:rsid w:val="00B768EC"/>
    <w:rsid w:val="00B96D0F"/>
    <w:rsid w:val="00BA511B"/>
    <w:rsid w:val="00BB51BB"/>
    <w:rsid w:val="00BB5B78"/>
    <w:rsid w:val="00BC44D0"/>
    <w:rsid w:val="00BF0AE9"/>
    <w:rsid w:val="00C21548"/>
    <w:rsid w:val="00C51379"/>
    <w:rsid w:val="00CA11DD"/>
    <w:rsid w:val="00CC250D"/>
    <w:rsid w:val="00D1030D"/>
    <w:rsid w:val="00D27EEB"/>
    <w:rsid w:val="00D30A74"/>
    <w:rsid w:val="00D46AE5"/>
    <w:rsid w:val="00D5082B"/>
    <w:rsid w:val="00DB0854"/>
    <w:rsid w:val="00DD6E9F"/>
    <w:rsid w:val="00DE1045"/>
    <w:rsid w:val="00DE47AC"/>
    <w:rsid w:val="00DE61BB"/>
    <w:rsid w:val="00DF6850"/>
    <w:rsid w:val="00E112AE"/>
    <w:rsid w:val="00E2336B"/>
    <w:rsid w:val="00E516A3"/>
    <w:rsid w:val="00E60659"/>
    <w:rsid w:val="00E61DF3"/>
    <w:rsid w:val="00EB0DFD"/>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9826-8E30-4B90-9221-AF450A35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16</cp:revision>
  <cp:lastPrinted>2010-12-21T12:55:00Z</cp:lastPrinted>
  <dcterms:created xsi:type="dcterms:W3CDTF">2017-01-13T11:31:00Z</dcterms:created>
  <dcterms:modified xsi:type="dcterms:W3CDTF">2017-09-04T12:57:00Z</dcterms:modified>
</cp:coreProperties>
</file>